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cs="Times New Roman"/>
          <w:b/>
          <w:noProof/>
          <w:sz w:val="24"/>
          <w:szCs w:val="24"/>
          <w:lang w:eastAsia="it-IT"/>
        </w:rPr>
      </w:pPr>
      <w:r>
        <w:rPr>
          <w:rFonts w:ascii="Times New Roman" w:hAnsi="Times New Roman" w:cs="Times New Roman"/>
          <w:b/>
          <w:noProof/>
          <w:sz w:val="24"/>
          <w:szCs w:val="24"/>
          <w:lang w:eastAsia="it-IT"/>
        </w:rPr>
        <w:t>CENTRO STUDI SUL CLASSICISMO</w:t>
      </w:r>
    </w:p>
    <w:p>
      <w:pPr>
        <w:jc w:val="center"/>
        <w:rPr>
          <w:rFonts w:ascii="Times New Roman" w:hAnsi="Times New Roman" w:cs="Times New Roman"/>
          <w:noProof/>
          <w:sz w:val="24"/>
          <w:szCs w:val="24"/>
          <w:lang w:eastAsia="it-IT"/>
        </w:rPr>
      </w:pPr>
      <w:r>
        <w:rPr>
          <w:rFonts w:ascii="Times New Roman" w:hAnsi="Times New Roman" w:cs="Times New Roman"/>
          <w:noProof/>
          <w:sz w:val="24"/>
          <w:szCs w:val="24"/>
          <w:lang w:eastAsia="it-IT"/>
        </w:rPr>
        <w:t>Sede in Prato- Via Luigi Muzzi, 38</w:t>
      </w:r>
    </w:p>
    <w:p>
      <w:pPr>
        <w:rPr>
          <w:rFonts w:ascii="Times New Roman" w:hAnsi="Times New Roman" w:cs="Times New Roman"/>
          <w:noProof/>
          <w:sz w:val="24"/>
          <w:szCs w:val="24"/>
          <w:lang w:eastAsia="it-IT"/>
        </w:rPr>
      </w:pPr>
    </w:p>
    <w:p>
      <w:pPr>
        <w:jc w:val="center"/>
        <w:rPr>
          <w:rFonts w:ascii="Times New Roman" w:hAnsi="Times New Roman" w:cs="Times New Roman"/>
          <w:b/>
          <w:sz w:val="24"/>
          <w:szCs w:val="24"/>
        </w:rPr>
      </w:pPr>
      <w:r>
        <w:rPr>
          <w:rFonts w:ascii="Times New Roman" w:hAnsi="Times New Roman" w:cs="Times New Roman"/>
          <w:b/>
          <w:sz w:val="24"/>
          <w:szCs w:val="24"/>
        </w:rPr>
        <w:t>RELAZIONE DEL SINDACO  E REVISORE UNICO AL BILANCIO DI ESERCIZIO AL 31-12-2024</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Pregiatissimi membri Associati, siete stati convocati per l’approvazione definitiva del rendiconto dell’attività del Centro Studi sul Classicismo relativo all’esercizio chiuso al 31 dicembre 2024 nonché della relativa situazione patrimoniale e dei documenti che accompagnano il bilancio,</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Passando al merito del bilancio 2024 lo stesso chiude con un risultato di gestione dell’esercizio in perdita   per l’importo di  euro 18.953,95. Tale  risultato dipende dal fatto che purtroppo  la Vostra Associazione è riuscita a reperire esclusivamente proventi da erogazioni liberali, senza poter conseguire alcun contributo pubblico e ciò non è stato sufficiente  per coprire i costi di gestione.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In ottica prospettica comunque sia con entrate  di  natura istituzionale, anche auspicabilmente di nuova fonte, sia con una attenta politica di contenimento delle spese di gestione, si prevede che possano pervenire le risorse necessarie per permettere all’Associazione di continuare a perseguire gli scopi sociali.</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Si ribadisce infine, a livello di tecnica di contabilizzazione, che il risultato d’esercizio  è influenzato prevalentemente dall’adozione di metodi  di imputazione delle componenti di reddito improntate ad un criterio puro di cassa.</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Abbiamo esaminato il bilancio d’esercizio dell’Associazione al 31-12-2024 che risulta redatto ai sensi di legge e  statuto e regolarmente comunicato. Detto documento è risultato nel suo complesso idoneo a rappresentare in modo chiaro e veritiero l’andamento della gestione 2024 nonché la situazione patrimoniale finanziaria alla data di riferimento. I dati di bilancio esaminati trovano corrispondenza con le scritture contabili, che periodicamente esaminate sono risultate tenute a norma di legge e secondo una corretta tecnica contabile.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Nell’adempimento dei suoi doveri e nello svolgimento della sua funzione di sindaco e revisore unico, dall’esame degli atti e della documentazione sociale nonché dal confronto dei dati di bilancio dall’esame delle risultanze contabili:</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ha constatato la sostanziale osservanza delle disposizioni  di legge e dello statuto;</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ha constatato che l’amministrazione dell’ Associazione  è impostata secondo corretti principi avendo ricevuto dagli amministratori notizie sulle operazioni di maggior rilievo, sull’andamento della gestione e sulle condizioni operative e di sviluppo dell’attività istituzionale ;</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ha esaminato e valutato le operazioni finanziarie che sono risultate normali senza che vi sia stato luogo a rilievi ; </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ha verificato l’adeguatezza della organizzazione amministrativo-contabile della Associazione che è risultata affidabile ed adeguata rispetto alla dimensione dell’ente ed alle caratteristiche dell’attività svolta ed ha riscontrato la correttezza  delle procedure relative agli adempimenti periodici anche fiscali; </w:t>
      </w:r>
    </w:p>
    <w:p>
      <w:pPr>
        <w:pStyle w:val="Paragrafoelenco"/>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ha verificato la coerenza della gestione annuale con il contenuto del bilancio.</w:t>
      </w:r>
    </w:p>
    <w:p>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Il Revisore Unico non ha rilievi in ordine al Bilancio.</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Le voci della situazione Patrimoniale, aggregate secondo la loro natura si presentano in sintesi come segue (dati in €):</w:t>
      </w:r>
    </w:p>
    <w:p>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ATTIVO </w:t>
      </w:r>
    </w:p>
    <w:p>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Immobilizzazioni materiali immateriali e                     71.388,99</w:t>
      </w:r>
    </w:p>
    <w:p>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finanziarie</w:t>
      </w:r>
    </w:p>
    <w:p>
      <w:pPr>
        <w:spacing w:after="0" w:line="360" w:lineRule="auto"/>
        <w:jc w:val="both"/>
        <w:rPr>
          <w:rFonts w:ascii="Times New Roman" w:hAnsi="Times New Roman" w:cs="Times New Roman"/>
          <w:sz w:val="24"/>
          <w:szCs w:val="24"/>
        </w:rPr>
      </w:pPr>
    </w:p>
    <w:p>
      <w:pPr>
        <w:spacing w:line="360" w:lineRule="auto"/>
        <w:jc w:val="both"/>
        <w:rPr>
          <w:rFonts w:ascii="Times New Roman" w:hAnsi="Times New Roman" w:cs="Times New Roman"/>
          <w:sz w:val="24"/>
          <w:szCs w:val="24"/>
        </w:rPr>
      </w:pPr>
      <w:r>
        <w:rPr>
          <w:rFonts w:ascii="Times New Roman" w:hAnsi="Times New Roman" w:cs="Times New Roman"/>
          <w:sz w:val="24"/>
          <w:szCs w:val="24"/>
        </w:rPr>
        <w:t>Crediti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2.410,20</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Disponibilità Liquide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28.558,50</w:t>
      </w:r>
    </w:p>
    <w:p>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TOTALE ATTIVITA’ </w:t>
      </w:r>
      <w:r>
        <w:rPr>
          <w:rFonts w:ascii="Times New Roman" w:hAnsi="Times New Roman" w:cs="Times New Roman"/>
          <w:b/>
          <w:sz w:val="24"/>
          <w:szCs w:val="24"/>
        </w:rPr>
        <w:t xml:space="preserve">                                </w:t>
      </w:r>
      <w:r>
        <w:rPr>
          <w:rFonts w:ascii="Times New Roman" w:hAnsi="Times New Roman" w:cs="Times New Roman"/>
          <w:b/>
          <w:sz w:val="24"/>
          <w:szCs w:val="24"/>
        </w:rPr>
        <w:tab/>
        <w:t xml:space="preserve">   </w:t>
      </w:r>
      <w:r>
        <w:rPr>
          <w:rFonts w:ascii="Times New Roman" w:hAnsi="Times New Roman" w:cs="Times New Roman"/>
          <w:b/>
          <w:sz w:val="24"/>
          <w:szCs w:val="24"/>
          <w:u w:val="single"/>
        </w:rPr>
        <w:t>102.357,69</w:t>
      </w:r>
    </w:p>
    <w:p>
      <w:pPr>
        <w:spacing w:line="360" w:lineRule="auto"/>
        <w:jc w:val="both"/>
        <w:rPr>
          <w:rFonts w:ascii="Times New Roman" w:hAnsi="Times New Roman" w:cs="Times New Roman"/>
          <w:b/>
          <w:sz w:val="24"/>
          <w:szCs w:val="24"/>
          <w:u w:val="single"/>
        </w:rPr>
      </w:pPr>
    </w:p>
    <w:p>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PASSIVO</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Fornitori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12.263,83</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Fondi Ammortamento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29.536,00</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Patrimonio netto (compresa perdita d’esercizio)          57.911,86</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Debiti Diversi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2.646,00</w:t>
      </w:r>
    </w:p>
    <w:p>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TOTALE PASSIVITA’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u w:val="single"/>
        </w:rPr>
        <w:t xml:space="preserve"> 102.357,69</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Sono state fornite informazioni sui criteri di valutazione delle voci di bilancio condivise ricevendo notizie sulla attività svolta nel corso del 2024 e sulle prospettive della evoluzione dell’attività istituzionale per il proseguimento della scopo statutario. La gestione risulta esauriente nel fornire notizie sulle condizioni attuali e sullo sviluppo dell’attività e sulla prevedibile evoluzione della prospettive, sulla missione istituzionale e sui vari progetti perseguiti e sul trasferimento dei risultati ottenuti.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In particolare si  segnala di condividere il criterio di iscrizione in bilancio delle immobilizzazioni immateriali nonché il criterio di riconoscimento dei costi e proventi secondo il criterio di cassa. Si condivide infine la rilevazione dei contributi e delle liberalità ricevute con vincolo di scopo e/o destinazione.</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nostro giudizio il sopramenzionato bilancio, corrisponde alle risultanza dei libri e delle scritture contabili la valutazione del patrimonio sociale è stata effettuata in conformità ai criteri dell’art.2426 del Codice Civile.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Per tutto quanto sopra riferito nulla osta da parte del revisore unico alla approvazione del bilancio di esercizio 2024 prevedendo la copertura della </w:t>
      </w:r>
      <w:proofErr w:type="spellStart"/>
      <w:r>
        <w:rPr>
          <w:rFonts w:ascii="Times New Roman" w:hAnsi="Times New Roman" w:cs="Times New Roman"/>
          <w:sz w:val="24"/>
          <w:szCs w:val="24"/>
        </w:rPr>
        <w:t>perrdita</w:t>
      </w:r>
      <w:proofErr w:type="spellEnd"/>
      <w:r>
        <w:rPr>
          <w:rFonts w:ascii="Times New Roman" w:hAnsi="Times New Roman" w:cs="Times New Roman"/>
          <w:sz w:val="24"/>
          <w:szCs w:val="24"/>
        </w:rPr>
        <w:t xml:space="preserve"> di esercizio di € 18.953,95 mediante utilizzo  del corrispondente importo della voce di riserva del patrimonio denominata “Utili portati a nuovo”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Firenze, 15-03-2025</w:t>
      </w:r>
      <w:bookmarkStart w:id="0" w:name="_GoBack"/>
      <w:bookmarkEnd w:id="0"/>
      <w:r>
        <w:rPr>
          <w:rFonts w:ascii="Times New Roman" w:hAnsi="Times New Roman" w:cs="Times New Roman"/>
          <w:sz w:val="24"/>
          <w:szCs w:val="24"/>
        </w:rPr>
        <w:t xml:space="preserve"> </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Il Sindaco e Revisore unico </w:t>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Dott. Guasparri Simone </w:t>
      </w:r>
    </w:p>
    <w:sectPr>
      <w:pgSz w:w="11906" w:h="16838" w:code="9"/>
      <w:pgMar w:top="1701" w:right="2325" w:bottom="1701" w:left="164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22743"/>
    <w:multiLevelType w:val="hybridMultilevel"/>
    <w:tmpl w:val="D10E81AC"/>
    <w:lvl w:ilvl="0" w:tplc="D5AA8CD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 w:type="paragraph" w:styleId="Paragrafoelenco">
    <w:name w:val="List Paragraph"/>
    <w:basedOn w:val="Normale"/>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 w:type="paragraph" w:styleId="Paragrafoelenco">
    <w:name w:val="List Paragraph"/>
    <w:basedOn w:val="Normal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771</Words>
  <Characters>4399</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dc:creator>
  <cp:lastModifiedBy>Simone Guasparri</cp:lastModifiedBy>
  <cp:revision>3</cp:revision>
  <cp:lastPrinted>2017-03-22T11:38:00Z</cp:lastPrinted>
  <dcterms:created xsi:type="dcterms:W3CDTF">2024-03-26T15:48:00Z</dcterms:created>
  <dcterms:modified xsi:type="dcterms:W3CDTF">2025-03-25T14:09:00Z</dcterms:modified>
</cp:coreProperties>
</file>